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9E8C49" w14:textId="46D94A02" w:rsidR="00473AEF" w:rsidRDefault="00544C2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8FD41" wp14:editId="2CCADB0B">
                <wp:simplePos x="0" y="0"/>
                <wp:positionH relativeFrom="column">
                  <wp:posOffset>2085860</wp:posOffset>
                </wp:positionH>
                <wp:positionV relativeFrom="paragraph">
                  <wp:posOffset>-317905</wp:posOffset>
                </wp:positionV>
                <wp:extent cx="4052454" cy="532823"/>
                <wp:effectExtent l="0" t="0" r="24765" b="19685"/>
                <wp:wrapNone/>
                <wp:docPr id="125366868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2454" cy="532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D79B6F" w14:textId="32611B37" w:rsidR="00544C2C" w:rsidRPr="00544C2C" w:rsidRDefault="00544C2C" w:rsidP="00544C2C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544C2C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Liste des </w:t>
                            </w:r>
                            <w:r w:rsidR="009738BF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décisions</w:t>
                            </w:r>
                            <w:r w:rsidRPr="00544C2C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202</w:t>
                            </w:r>
                            <w:r w:rsidR="00ED1516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8FD41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64.25pt;margin-top:-25.05pt;width:319.1pt;height:41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" fillcolor="white [3201]" strokeweight=".5pt">
                <v:textbox>
                  <w:txbxContent>
                    <w:p w14:paraId="3FD79B6F" w14:textId="32611B37" w:rsidR="00544C2C" w:rsidRPr="00544C2C" w:rsidRDefault="00544C2C" w:rsidP="00544C2C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544C2C">
                        <w:rPr>
                          <w:b/>
                          <w:bCs/>
                          <w:sz w:val="30"/>
                          <w:szCs w:val="30"/>
                        </w:rPr>
                        <w:t xml:space="preserve">Liste des </w:t>
                      </w:r>
                      <w:r w:rsidR="009738BF">
                        <w:rPr>
                          <w:b/>
                          <w:bCs/>
                          <w:sz w:val="30"/>
                          <w:szCs w:val="30"/>
                        </w:rPr>
                        <w:t>décisions</w:t>
                      </w:r>
                      <w:r w:rsidRPr="00544C2C">
                        <w:rPr>
                          <w:b/>
                          <w:bCs/>
                          <w:sz w:val="30"/>
                          <w:szCs w:val="30"/>
                        </w:rPr>
                        <w:t xml:space="preserve"> 202</w:t>
                      </w:r>
                      <w:r w:rsidR="00ED1516">
                        <w:rPr>
                          <w:b/>
                          <w:bCs/>
                          <w:sz w:val="30"/>
                          <w:szCs w:val="3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460AD5D5" w14:textId="77777777" w:rsidR="00544C2C" w:rsidRDefault="00544C2C" w:rsidP="00544C2C"/>
    <w:p w14:paraId="53CA441D" w14:textId="77777777" w:rsidR="00ED1516" w:rsidRDefault="00ED1516" w:rsidP="00ED151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kern w:val="0"/>
          <w:sz w:val="24"/>
          <w:szCs w:val="24"/>
          <w:lang w:eastAsia="fr-FR"/>
          <w14:ligatures w14:val="none"/>
        </w:rPr>
      </w:pPr>
    </w:p>
    <w:p w14:paraId="5B1F7C23" w14:textId="77777777" w:rsidR="00ED1516" w:rsidRDefault="00ED1516" w:rsidP="00ED151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kern w:val="0"/>
          <w:sz w:val="24"/>
          <w:szCs w:val="24"/>
          <w:lang w:eastAsia="fr-FR"/>
          <w14:ligatures w14:val="none"/>
        </w:rPr>
      </w:pPr>
    </w:p>
    <w:p w14:paraId="476A23D7" w14:textId="77777777" w:rsidR="004D1328" w:rsidRPr="004D1328" w:rsidRDefault="004D1328" w:rsidP="004D132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kern w:val="0"/>
          <w:sz w:val="24"/>
          <w:szCs w:val="24"/>
          <w:lang w:eastAsia="fr-FR"/>
          <w14:ligatures w14:val="none"/>
        </w:rPr>
      </w:pPr>
      <w:r w:rsidRPr="004D1328">
        <w:rPr>
          <w:rFonts w:eastAsia="Times New Roman" w:cs="Times New Roman"/>
          <w:color w:val="000000"/>
          <w:kern w:val="0"/>
          <w:sz w:val="24"/>
          <w:szCs w:val="24"/>
          <w:lang w:eastAsia="fr-FR"/>
          <w14:ligatures w14:val="none"/>
        </w:rPr>
        <w:t>Bureau communautaire du 30 novembre 2023</w:t>
      </w:r>
    </w:p>
    <w:p w14:paraId="4DEDCC9E" w14:textId="77777777" w:rsidR="004D1328" w:rsidRPr="004D1328" w:rsidRDefault="004D1328" w:rsidP="004D1328">
      <w:pPr>
        <w:numPr>
          <w:ilvl w:val="0"/>
          <w:numId w:val="22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fr-FR"/>
          <w14:ligatures w14:val="none"/>
        </w:rPr>
      </w:pPr>
      <w:r w:rsidRPr="004D1328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fr-FR"/>
          <w14:ligatures w14:val="none"/>
        </w:rPr>
        <w:t xml:space="preserve">Actualisation du règlement intérieur de l’ALSH Sainte </w:t>
      </w:r>
      <w:proofErr w:type="spellStart"/>
      <w:r w:rsidRPr="004D1328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fr-FR"/>
          <w14:ligatures w14:val="none"/>
        </w:rPr>
        <w:t>Euphémie</w:t>
      </w:r>
      <w:proofErr w:type="spellEnd"/>
      <w:r w:rsidRPr="004D1328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fr-FR"/>
          <w14:ligatures w14:val="none"/>
        </w:rPr>
        <w:t xml:space="preserve"> : a</w:t>
      </w:r>
      <w:r w:rsidRPr="004D1328">
        <w:rPr>
          <w:rFonts w:eastAsia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pprouvée</w:t>
      </w:r>
    </w:p>
    <w:p w14:paraId="36CF9740" w14:textId="77777777" w:rsidR="004D1328" w:rsidRPr="004D1328" w:rsidRDefault="004D1328" w:rsidP="004D1328">
      <w:pPr>
        <w:numPr>
          <w:ilvl w:val="0"/>
          <w:numId w:val="22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fr-FR"/>
          <w14:ligatures w14:val="none"/>
        </w:rPr>
      </w:pPr>
      <w:r w:rsidRPr="004D1328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fr-FR"/>
          <w14:ligatures w14:val="none"/>
        </w:rPr>
        <w:t>Actualisation du règlement intérieur de l’espace jeunes : </w:t>
      </w:r>
      <w:r w:rsidRPr="004D1328">
        <w:rPr>
          <w:rFonts w:eastAsia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approuvée</w:t>
      </w:r>
    </w:p>
    <w:p w14:paraId="54EA4186" w14:textId="77777777" w:rsidR="004D1328" w:rsidRPr="004D1328" w:rsidRDefault="004D1328" w:rsidP="004D1328">
      <w:pPr>
        <w:numPr>
          <w:ilvl w:val="0"/>
          <w:numId w:val="22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fr-FR"/>
          <w14:ligatures w14:val="none"/>
        </w:rPr>
      </w:pPr>
      <w:r w:rsidRPr="004D1328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fr-FR"/>
          <w14:ligatures w14:val="none"/>
        </w:rPr>
        <w:t>Versement d’un acompte à la subvention de fonctionnement 2024 pour la micro crèche associative « Les P’tits Bouts » : </w:t>
      </w:r>
      <w:r w:rsidRPr="004D1328">
        <w:rPr>
          <w:rFonts w:eastAsia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approuvée</w:t>
      </w:r>
    </w:p>
    <w:p w14:paraId="39E09243" w14:textId="77777777" w:rsidR="004D1328" w:rsidRPr="004D1328" w:rsidRDefault="004D1328" w:rsidP="004D1328">
      <w:pPr>
        <w:numPr>
          <w:ilvl w:val="0"/>
          <w:numId w:val="22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fr-FR"/>
          <w14:ligatures w14:val="none"/>
        </w:rPr>
      </w:pPr>
      <w:r w:rsidRPr="004D1328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fr-FR"/>
          <w14:ligatures w14:val="none"/>
        </w:rPr>
        <w:t>Convention de partenariat entre la CCCPS et la CCVD pour la mise en œuvre du Plan Pastoral Territorial Vallée de la Drôme 2023-2028 : </w:t>
      </w:r>
      <w:r w:rsidRPr="004D1328">
        <w:rPr>
          <w:rFonts w:eastAsia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approuvée</w:t>
      </w:r>
    </w:p>
    <w:p w14:paraId="7757F359" w14:textId="77777777" w:rsidR="004D1328" w:rsidRPr="004D1328" w:rsidRDefault="004D1328" w:rsidP="004D1328">
      <w:pPr>
        <w:numPr>
          <w:ilvl w:val="0"/>
          <w:numId w:val="22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fr-FR"/>
          <w14:ligatures w14:val="none"/>
        </w:rPr>
      </w:pPr>
      <w:r w:rsidRPr="004D1328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fr-FR"/>
          <w14:ligatures w14:val="none"/>
        </w:rPr>
        <w:t>Acompte à l’Office de Tourisme pour l’exercice 2024 : </w:t>
      </w:r>
      <w:r w:rsidRPr="004D1328">
        <w:rPr>
          <w:rFonts w:eastAsia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approuvée</w:t>
      </w:r>
    </w:p>
    <w:p w14:paraId="041F8377" w14:textId="77777777" w:rsidR="004D1328" w:rsidRPr="004D1328" w:rsidRDefault="004D1328" w:rsidP="004D1328">
      <w:pPr>
        <w:numPr>
          <w:ilvl w:val="0"/>
          <w:numId w:val="22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fr-FR"/>
          <w14:ligatures w14:val="none"/>
        </w:rPr>
      </w:pPr>
      <w:r w:rsidRPr="004D1328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fr-FR"/>
          <w14:ligatures w14:val="none"/>
        </w:rPr>
        <w:t>Engagement de la CCCPS dans un Contrat d’Objectif Territorial (COT) proposé par l’ADEME : </w:t>
      </w:r>
      <w:r w:rsidRPr="004D1328">
        <w:rPr>
          <w:rFonts w:eastAsia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approuvée</w:t>
      </w:r>
    </w:p>
    <w:p w14:paraId="48030F86" w14:textId="77777777" w:rsidR="004D1328" w:rsidRPr="004D1328" w:rsidRDefault="004D1328" w:rsidP="004D1328">
      <w:pPr>
        <w:numPr>
          <w:ilvl w:val="0"/>
          <w:numId w:val="22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fr-FR"/>
          <w14:ligatures w14:val="none"/>
        </w:rPr>
      </w:pPr>
      <w:r w:rsidRPr="004D1328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fr-FR"/>
          <w14:ligatures w14:val="none"/>
        </w:rPr>
        <w:t xml:space="preserve">Convention de mise à disposition temporaire d’un parking situé à proximité des terrains de foot et de tennis à Saillans – Quartier </w:t>
      </w:r>
      <w:proofErr w:type="gramStart"/>
      <w:r w:rsidRPr="004D1328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fr-FR"/>
          <w14:ligatures w14:val="none"/>
        </w:rPr>
        <w:t>les Chapelain</w:t>
      </w:r>
      <w:proofErr w:type="gramEnd"/>
      <w:r w:rsidRPr="004D1328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fr-FR"/>
          <w14:ligatures w14:val="none"/>
        </w:rPr>
        <w:t xml:space="preserve"> : </w:t>
      </w:r>
      <w:r w:rsidRPr="004D1328">
        <w:rPr>
          <w:rFonts w:eastAsia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approuvée</w:t>
      </w:r>
    </w:p>
    <w:p w14:paraId="7E321C64" w14:textId="77777777" w:rsidR="004D1328" w:rsidRPr="004D1328" w:rsidRDefault="004D1328" w:rsidP="004D1328">
      <w:p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fr-FR"/>
          <w14:ligatures w14:val="none"/>
        </w:rPr>
      </w:pPr>
    </w:p>
    <w:p w14:paraId="3877505C" w14:textId="77777777" w:rsidR="004D1328" w:rsidRPr="004D1328" w:rsidRDefault="004D1328" w:rsidP="004D132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kern w:val="0"/>
          <w:sz w:val="24"/>
          <w:szCs w:val="24"/>
          <w:lang w:eastAsia="fr-FR"/>
          <w14:ligatures w14:val="none"/>
        </w:rPr>
      </w:pPr>
      <w:r w:rsidRPr="004D1328">
        <w:rPr>
          <w:rFonts w:eastAsia="Times New Roman" w:cs="Times New Roman"/>
          <w:color w:val="000000"/>
          <w:kern w:val="0"/>
          <w:sz w:val="24"/>
          <w:szCs w:val="24"/>
          <w:lang w:eastAsia="fr-FR"/>
          <w14:ligatures w14:val="none"/>
        </w:rPr>
        <w:t>Bureau communautaire du 12 octobre 2023</w:t>
      </w:r>
    </w:p>
    <w:p w14:paraId="5452BA9A" w14:textId="77777777" w:rsidR="004D1328" w:rsidRPr="004D1328" w:rsidRDefault="004D1328" w:rsidP="004D1328">
      <w:pPr>
        <w:numPr>
          <w:ilvl w:val="0"/>
          <w:numId w:val="23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fr-FR"/>
          <w14:ligatures w14:val="none"/>
        </w:rPr>
      </w:pPr>
      <w:r w:rsidRPr="004D1328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fr-FR"/>
          <w14:ligatures w14:val="none"/>
        </w:rPr>
        <w:t>Convention de partenariat avec le CAUE et la commune de Rimon et Savel concernant l’accompagnement à l’aide à la décision pour élaborer une carte communale : </w:t>
      </w:r>
      <w:r w:rsidRPr="004D1328">
        <w:rPr>
          <w:rFonts w:eastAsia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approuvée</w:t>
      </w:r>
    </w:p>
    <w:p w14:paraId="04CD9657" w14:textId="77777777" w:rsidR="004D1328" w:rsidRPr="004D1328" w:rsidRDefault="004D1328" w:rsidP="004D1328">
      <w:pPr>
        <w:numPr>
          <w:ilvl w:val="0"/>
          <w:numId w:val="23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fr-FR"/>
          <w14:ligatures w14:val="none"/>
        </w:rPr>
      </w:pPr>
      <w:r w:rsidRPr="004D1328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fr-FR"/>
          <w14:ligatures w14:val="none"/>
        </w:rPr>
        <w:t>Convention de prestation de service avec les communes pour l’établissement des rôles d’assainissement : </w:t>
      </w:r>
      <w:r w:rsidRPr="004D1328">
        <w:rPr>
          <w:rFonts w:eastAsia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approuvée</w:t>
      </w:r>
    </w:p>
    <w:p w14:paraId="5E0D4CC3" w14:textId="77777777" w:rsidR="004D1328" w:rsidRPr="004D1328" w:rsidRDefault="004D1328" w:rsidP="004D1328">
      <w:pPr>
        <w:numPr>
          <w:ilvl w:val="0"/>
          <w:numId w:val="23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fr-FR"/>
          <w14:ligatures w14:val="none"/>
        </w:rPr>
      </w:pPr>
      <w:r w:rsidRPr="004D1328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fr-FR"/>
          <w14:ligatures w14:val="none"/>
        </w:rPr>
        <w:t>Convention de mise à disposition d’une parcelle pour un point d’apport volontaire de déchets : </w:t>
      </w:r>
      <w:r w:rsidRPr="004D1328">
        <w:rPr>
          <w:rFonts w:eastAsia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approuvée</w:t>
      </w:r>
    </w:p>
    <w:p w14:paraId="3F46C7C8" w14:textId="77777777" w:rsidR="004D1328" w:rsidRPr="004D1328" w:rsidRDefault="004D1328" w:rsidP="004D1328">
      <w:pPr>
        <w:numPr>
          <w:ilvl w:val="0"/>
          <w:numId w:val="23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fr-FR"/>
          <w14:ligatures w14:val="none"/>
        </w:rPr>
      </w:pPr>
      <w:r w:rsidRPr="004D1328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fr-FR"/>
          <w14:ligatures w14:val="none"/>
        </w:rPr>
        <w:t xml:space="preserve">Convention de prestations de contre-visite avec </w:t>
      </w:r>
      <w:proofErr w:type="spellStart"/>
      <w:r w:rsidRPr="004D1328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fr-FR"/>
          <w14:ligatures w14:val="none"/>
        </w:rPr>
        <w:t>Relyens</w:t>
      </w:r>
      <w:proofErr w:type="spellEnd"/>
      <w:r w:rsidRPr="004D1328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fr-FR"/>
          <w14:ligatures w14:val="none"/>
        </w:rPr>
        <w:t xml:space="preserve"> : </w:t>
      </w:r>
      <w:r w:rsidRPr="004D1328">
        <w:rPr>
          <w:rFonts w:eastAsia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approuvée</w:t>
      </w:r>
    </w:p>
    <w:p w14:paraId="196B0F90" w14:textId="77777777" w:rsidR="004D1328" w:rsidRPr="004D1328" w:rsidRDefault="004D1328" w:rsidP="004D1328">
      <w:pPr>
        <w:numPr>
          <w:ilvl w:val="0"/>
          <w:numId w:val="23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fr-FR"/>
          <w14:ligatures w14:val="none"/>
        </w:rPr>
      </w:pPr>
      <w:r w:rsidRPr="004D1328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fr-FR"/>
          <w14:ligatures w14:val="none"/>
        </w:rPr>
        <w:t>Convention d’adhésion à la mission médiation avec le CDG26 : </w:t>
      </w:r>
      <w:r w:rsidRPr="004D1328">
        <w:rPr>
          <w:rFonts w:eastAsia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approuvée</w:t>
      </w:r>
    </w:p>
    <w:p w14:paraId="3B40BADD" w14:textId="77777777" w:rsidR="004D1328" w:rsidRPr="004D1328" w:rsidRDefault="004D1328" w:rsidP="004D1328">
      <w:pPr>
        <w:numPr>
          <w:ilvl w:val="0"/>
          <w:numId w:val="23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fr-FR"/>
          <w14:ligatures w14:val="none"/>
        </w:rPr>
      </w:pPr>
      <w:r w:rsidRPr="004D1328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fr-FR"/>
          <w14:ligatures w14:val="none"/>
        </w:rPr>
        <w:t>Autorisations d’urbanisme suite à la grêle du 12 juillet 2023 : </w:t>
      </w:r>
      <w:r w:rsidRPr="004D1328">
        <w:rPr>
          <w:rFonts w:eastAsia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approuvée</w:t>
      </w:r>
    </w:p>
    <w:p w14:paraId="1FD0C389" w14:textId="77777777" w:rsidR="004D1328" w:rsidRPr="004D1328" w:rsidRDefault="004D1328" w:rsidP="004D1328">
      <w:p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fr-FR"/>
          <w14:ligatures w14:val="none"/>
        </w:rPr>
      </w:pPr>
    </w:p>
    <w:p w14:paraId="3D4D88ED" w14:textId="77777777" w:rsidR="004D1328" w:rsidRPr="004D1328" w:rsidRDefault="004D1328" w:rsidP="004D132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kern w:val="0"/>
          <w:sz w:val="24"/>
          <w:szCs w:val="24"/>
          <w:lang w:eastAsia="fr-FR"/>
          <w14:ligatures w14:val="none"/>
        </w:rPr>
      </w:pPr>
      <w:r w:rsidRPr="004D1328">
        <w:rPr>
          <w:rFonts w:eastAsia="Times New Roman" w:cs="Times New Roman"/>
          <w:color w:val="000000"/>
          <w:kern w:val="0"/>
          <w:sz w:val="24"/>
          <w:szCs w:val="24"/>
          <w:lang w:eastAsia="fr-FR"/>
          <w14:ligatures w14:val="none"/>
        </w:rPr>
        <w:t>Bureau communautaire du 14 septembre 2023</w:t>
      </w:r>
    </w:p>
    <w:p w14:paraId="628AC15D" w14:textId="77777777" w:rsidR="004D1328" w:rsidRPr="004D1328" w:rsidRDefault="004D1328" w:rsidP="004D1328">
      <w:pPr>
        <w:numPr>
          <w:ilvl w:val="0"/>
          <w:numId w:val="24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fr-FR"/>
          <w14:ligatures w14:val="none"/>
        </w:rPr>
      </w:pPr>
      <w:r w:rsidRPr="004D1328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fr-FR"/>
          <w14:ligatures w14:val="none"/>
        </w:rPr>
        <w:t xml:space="preserve">Convention Syndicat Mixte de la rivière Drôme – Partenariat pour la distribution d’équipement </w:t>
      </w:r>
      <w:proofErr w:type="spellStart"/>
      <w:r w:rsidRPr="004D1328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fr-FR"/>
          <w14:ligatures w14:val="none"/>
        </w:rPr>
        <w:t>hydroéconome</w:t>
      </w:r>
      <w:proofErr w:type="spellEnd"/>
      <w:r w:rsidRPr="004D1328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fr-FR"/>
          <w14:ligatures w14:val="none"/>
        </w:rPr>
        <w:t xml:space="preserve"> : </w:t>
      </w:r>
      <w:r w:rsidRPr="004D1328">
        <w:rPr>
          <w:rFonts w:eastAsia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approuvée</w:t>
      </w:r>
    </w:p>
    <w:p w14:paraId="002901C1" w14:textId="77777777" w:rsidR="004D1328" w:rsidRPr="004D1328" w:rsidRDefault="004D1328" w:rsidP="004D1328">
      <w:pPr>
        <w:numPr>
          <w:ilvl w:val="0"/>
          <w:numId w:val="24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fr-FR"/>
          <w14:ligatures w14:val="none"/>
        </w:rPr>
      </w:pPr>
      <w:r w:rsidRPr="004D1328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fr-FR"/>
          <w14:ligatures w14:val="none"/>
        </w:rPr>
        <w:t xml:space="preserve">Convention </w:t>
      </w:r>
      <w:proofErr w:type="spellStart"/>
      <w:r w:rsidRPr="004D1328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fr-FR"/>
          <w14:ligatures w14:val="none"/>
        </w:rPr>
        <w:t>Just’air</w:t>
      </w:r>
      <w:proofErr w:type="spellEnd"/>
      <w:r w:rsidRPr="004D1328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fr-FR"/>
          <w14:ligatures w14:val="none"/>
        </w:rPr>
        <w:t xml:space="preserve"> – Partenariat </w:t>
      </w:r>
      <w:proofErr w:type="spellStart"/>
      <w:r w:rsidRPr="004D1328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fr-FR"/>
          <w14:ligatures w14:val="none"/>
        </w:rPr>
        <w:t>Céréma</w:t>
      </w:r>
      <w:proofErr w:type="spellEnd"/>
      <w:r w:rsidRPr="004D1328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fr-FR"/>
          <w14:ligatures w14:val="none"/>
        </w:rPr>
        <w:t>-</w:t>
      </w:r>
      <w:proofErr w:type="spellStart"/>
      <w:r w:rsidRPr="004D1328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fr-FR"/>
          <w14:ligatures w14:val="none"/>
        </w:rPr>
        <w:t>Dorémi</w:t>
      </w:r>
      <w:proofErr w:type="spellEnd"/>
      <w:r w:rsidRPr="004D1328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fr-FR"/>
          <w14:ligatures w14:val="none"/>
        </w:rPr>
        <w:t>-CEA : </w:t>
      </w:r>
      <w:r w:rsidRPr="004D1328">
        <w:rPr>
          <w:rFonts w:eastAsia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approuvée</w:t>
      </w:r>
    </w:p>
    <w:p w14:paraId="4034EAFB" w14:textId="77777777" w:rsidR="004D1328" w:rsidRPr="004D1328" w:rsidRDefault="004D1328" w:rsidP="004D1328">
      <w:pPr>
        <w:numPr>
          <w:ilvl w:val="0"/>
          <w:numId w:val="24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fr-FR"/>
          <w14:ligatures w14:val="none"/>
        </w:rPr>
      </w:pPr>
      <w:r w:rsidRPr="004D1328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fr-FR"/>
          <w14:ligatures w14:val="none"/>
        </w:rPr>
        <w:t>Candidature à l’Appel à Manifestation d’Intérêt Régional ADEME/CNR relative à la « Valorisation de la ressource solaire photovoltaïque sur les bâtiments publics et parcs de stationnements des collectivités territoriales en région AURA » : </w:t>
      </w:r>
      <w:r w:rsidRPr="004D1328">
        <w:rPr>
          <w:rFonts w:eastAsia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approuvée</w:t>
      </w:r>
    </w:p>
    <w:p w14:paraId="49277CEC" w14:textId="77777777" w:rsidR="004D1328" w:rsidRPr="004D1328" w:rsidRDefault="004D1328" w:rsidP="004D1328">
      <w:pPr>
        <w:numPr>
          <w:ilvl w:val="0"/>
          <w:numId w:val="24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fr-FR"/>
          <w14:ligatures w14:val="none"/>
        </w:rPr>
      </w:pPr>
      <w:r w:rsidRPr="004D1328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fr-FR"/>
          <w14:ligatures w14:val="none"/>
        </w:rPr>
        <w:t>Convention de prestation de service avec les communes pour l’établissement des rôles d’assainissement : </w:t>
      </w:r>
      <w:r w:rsidRPr="004D1328">
        <w:rPr>
          <w:rFonts w:eastAsia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ajournée</w:t>
      </w:r>
    </w:p>
    <w:p w14:paraId="0AF03484" w14:textId="77777777" w:rsidR="004D1328" w:rsidRPr="004D1328" w:rsidRDefault="004D1328" w:rsidP="004D1328">
      <w:pPr>
        <w:numPr>
          <w:ilvl w:val="0"/>
          <w:numId w:val="24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fr-FR"/>
          <w14:ligatures w14:val="none"/>
        </w:rPr>
      </w:pPr>
      <w:r w:rsidRPr="004D1328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fr-FR"/>
          <w14:ligatures w14:val="none"/>
        </w:rPr>
        <w:t>Convention autorisant l’implantation temporaire d’un container sur le parking situé à proximité du terrain du foot synthétique à Crest : </w:t>
      </w:r>
      <w:r w:rsidRPr="004D1328">
        <w:rPr>
          <w:rFonts w:eastAsia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approuvée</w:t>
      </w:r>
    </w:p>
    <w:p w14:paraId="3C1B6A12" w14:textId="77777777" w:rsidR="004D1328" w:rsidRPr="004D1328" w:rsidRDefault="004D1328" w:rsidP="004D1328">
      <w:pPr>
        <w:numPr>
          <w:ilvl w:val="0"/>
          <w:numId w:val="24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fr-FR"/>
          <w14:ligatures w14:val="none"/>
        </w:rPr>
      </w:pPr>
      <w:r w:rsidRPr="004D1328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fr-FR"/>
          <w14:ligatures w14:val="none"/>
        </w:rPr>
        <w:t>Exercice 2023 – Admissions en non-valeur de créances irrécouvrables et créances éteintes pour le budget principal : </w:t>
      </w:r>
      <w:r w:rsidRPr="004D1328">
        <w:rPr>
          <w:rFonts w:eastAsia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fr-FR"/>
          <w14:ligatures w14:val="none"/>
        </w:rPr>
        <w:t>approuvée</w:t>
      </w:r>
    </w:p>
    <w:p w14:paraId="0B21E3F2" w14:textId="77777777" w:rsidR="00544C2C" w:rsidRPr="00544C2C" w:rsidRDefault="00544C2C" w:rsidP="009738BF">
      <w:pPr>
        <w:shd w:val="clear" w:color="auto" w:fill="FFFFFF"/>
        <w:spacing w:after="0" w:line="240" w:lineRule="auto"/>
        <w:textAlignment w:val="baseline"/>
      </w:pPr>
    </w:p>
    <w:sectPr w:rsidR="00544C2C" w:rsidRPr="00544C2C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271BF3" w14:textId="77777777" w:rsidR="00514F2D" w:rsidRDefault="00514F2D" w:rsidP="00544C2C">
      <w:pPr>
        <w:spacing w:after="0" w:line="240" w:lineRule="auto"/>
      </w:pPr>
      <w:r>
        <w:separator/>
      </w:r>
    </w:p>
  </w:endnote>
  <w:endnote w:type="continuationSeparator" w:id="0">
    <w:p w14:paraId="78877087" w14:textId="77777777" w:rsidR="00514F2D" w:rsidRDefault="00514F2D" w:rsidP="0054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067BFB" w14:textId="77777777" w:rsidR="00514F2D" w:rsidRDefault="00514F2D" w:rsidP="00544C2C">
      <w:pPr>
        <w:spacing w:after="0" w:line="240" w:lineRule="auto"/>
      </w:pPr>
      <w:r>
        <w:separator/>
      </w:r>
    </w:p>
  </w:footnote>
  <w:footnote w:type="continuationSeparator" w:id="0">
    <w:p w14:paraId="1712246F" w14:textId="77777777" w:rsidR="00514F2D" w:rsidRDefault="00514F2D" w:rsidP="00544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31D376" w14:textId="7038820D" w:rsidR="00544C2C" w:rsidRDefault="00544C2C">
    <w:pPr>
      <w:pStyle w:val="En-tte"/>
    </w:pPr>
    <w:r>
      <w:rPr>
        <w:noProof/>
      </w:rPr>
      <w:pict w14:anchorId="42E229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496985" o:spid="_x0000_s1026" type="#_x0000_t75" style="position:absolute;margin-left:0;margin-top:0;width:453.3pt;height:640.65pt;z-index:-251657216;mso-position-horizontal:center;mso-position-horizontal-relative:margin;mso-position-vertical:center;mso-position-vertical-relative:margin" o:allowincell="f">
          <v:imagedata r:id="rId1" o:title="Filigrane CCCPS_CR_210x297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DCCC64" w14:textId="7960F7BC" w:rsidR="00544C2C" w:rsidRDefault="00544C2C">
    <w:pPr>
      <w:pStyle w:val="En-tte"/>
    </w:pPr>
    <w:r>
      <w:rPr>
        <w:noProof/>
      </w:rPr>
      <w:pict w14:anchorId="180CEE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496986" o:spid="_x0000_s1027" type="#_x0000_t75" style="position:absolute;margin-left:-74.6pt;margin-top:-70pt;width:453.3pt;height:640.65pt;z-index:-251656192;mso-position-horizontal-relative:margin;mso-position-vertical-relative:margin" o:allowincell="f">
          <v:imagedata r:id="rId1" o:title="Filigrane CCCPS_CR_210x297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9618E2" w14:textId="42B8138C" w:rsidR="00544C2C" w:rsidRDefault="00544C2C">
    <w:pPr>
      <w:pStyle w:val="En-tte"/>
    </w:pPr>
    <w:r>
      <w:rPr>
        <w:noProof/>
      </w:rPr>
      <w:pict w14:anchorId="2AD2B3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496984" o:spid="_x0000_s1025" type="#_x0000_t75" style="position:absolute;margin-left:0;margin-top:0;width:453.3pt;height:640.65pt;z-index:-251658240;mso-position-horizontal:center;mso-position-horizontal-relative:margin;mso-position-vertical:center;mso-position-vertical-relative:margin" o:allowincell="f">
          <v:imagedata r:id="rId1" o:title="Filigrane CCCPS_CR_210x297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D957FA"/>
    <w:multiLevelType w:val="multilevel"/>
    <w:tmpl w:val="B3A2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7537CE"/>
    <w:multiLevelType w:val="multilevel"/>
    <w:tmpl w:val="14FC8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F7529"/>
    <w:multiLevelType w:val="multilevel"/>
    <w:tmpl w:val="DEFE3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531D85"/>
    <w:multiLevelType w:val="multilevel"/>
    <w:tmpl w:val="6C322F0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 w15:restartNumberingAfterBreak="0">
    <w:nsid w:val="1A5D2603"/>
    <w:multiLevelType w:val="multilevel"/>
    <w:tmpl w:val="0FEAD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834417"/>
    <w:multiLevelType w:val="multilevel"/>
    <w:tmpl w:val="BF5E0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ED0954"/>
    <w:multiLevelType w:val="multilevel"/>
    <w:tmpl w:val="F7123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F57BF2"/>
    <w:multiLevelType w:val="multilevel"/>
    <w:tmpl w:val="717A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3C09FA"/>
    <w:multiLevelType w:val="multilevel"/>
    <w:tmpl w:val="E9586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4A5497"/>
    <w:multiLevelType w:val="multilevel"/>
    <w:tmpl w:val="C18CB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642112"/>
    <w:multiLevelType w:val="multilevel"/>
    <w:tmpl w:val="B1129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781B8B"/>
    <w:multiLevelType w:val="multilevel"/>
    <w:tmpl w:val="BF3E3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C2753B"/>
    <w:multiLevelType w:val="multilevel"/>
    <w:tmpl w:val="572A6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AB4D39"/>
    <w:multiLevelType w:val="multilevel"/>
    <w:tmpl w:val="7CC61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804115"/>
    <w:multiLevelType w:val="multilevel"/>
    <w:tmpl w:val="E7E01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BB0BC8"/>
    <w:multiLevelType w:val="multilevel"/>
    <w:tmpl w:val="5CE06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755500"/>
    <w:multiLevelType w:val="multilevel"/>
    <w:tmpl w:val="59B25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EB0531"/>
    <w:multiLevelType w:val="multilevel"/>
    <w:tmpl w:val="994A2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633C4F"/>
    <w:multiLevelType w:val="multilevel"/>
    <w:tmpl w:val="C0B0B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E56422"/>
    <w:multiLevelType w:val="multilevel"/>
    <w:tmpl w:val="841ED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742574"/>
    <w:multiLevelType w:val="multilevel"/>
    <w:tmpl w:val="34DC2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544BE4"/>
    <w:multiLevelType w:val="multilevel"/>
    <w:tmpl w:val="5D66A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1C335C"/>
    <w:multiLevelType w:val="multilevel"/>
    <w:tmpl w:val="FC4EE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146D84"/>
    <w:multiLevelType w:val="multilevel"/>
    <w:tmpl w:val="730E3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7066992">
    <w:abstractNumId w:val="12"/>
  </w:num>
  <w:num w:numId="2" w16cid:durableId="1641882990">
    <w:abstractNumId w:val="8"/>
  </w:num>
  <w:num w:numId="3" w16cid:durableId="1697732301">
    <w:abstractNumId w:val="3"/>
  </w:num>
  <w:num w:numId="4" w16cid:durableId="1611281403">
    <w:abstractNumId w:val="13"/>
  </w:num>
  <w:num w:numId="5" w16cid:durableId="495806236">
    <w:abstractNumId w:val="18"/>
  </w:num>
  <w:num w:numId="6" w16cid:durableId="1389770156">
    <w:abstractNumId w:val="23"/>
  </w:num>
  <w:num w:numId="7" w16cid:durableId="1867328251">
    <w:abstractNumId w:val="15"/>
  </w:num>
  <w:num w:numId="8" w16cid:durableId="1290470859">
    <w:abstractNumId w:val="5"/>
  </w:num>
  <w:num w:numId="9" w16cid:durableId="542257585">
    <w:abstractNumId w:val="6"/>
  </w:num>
  <w:num w:numId="10" w16cid:durableId="516893687">
    <w:abstractNumId w:val="2"/>
  </w:num>
  <w:num w:numId="11" w16cid:durableId="799566616">
    <w:abstractNumId w:val="17"/>
  </w:num>
  <w:num w:numId="12" w16cid:durableId="236063665">
    <w:abstractNumId w:val="16"/>
  </w:num>
  <w:num w:numId="13" w16cid:durableId="1727030248">
    <w:abstractNumId w:val="9"/>
  </w:num>
  <w:num w:numId="14" w16cid:durableId="1393187938">
    <w:abstractNumId w:val="0"/>
  </w:num>
  <w:num w:numId="15" w16cid:durableId="592016013">
    <w:abstractNumId w:val="19"/>
  </w:num>
  <w:num w:numId="16" w16cid:durableId="261958183">
    <w:abstractNumId w:val="22"/>
  </w:num>
  <w:num w:numId="17" w16cid:durableId="310985164">
    <w:abstractNumId w:val="1"/>
  </w:num>
  <w:num w:numId="18" w16cid:durableId="2013096094">
    <w:abstractNumId w:val="21"/>
  </w:num>
  <w:num w:numId="19" w16cid:durableId="167018359">
    <w:abstractNumId w:val="7"/>
  </w:num>
  <w:num w:numId="20" w16cid:durableId="588150916">
    <w:abstractNumId w:val="20"/>
  </w:num>
  <w:num w:numId="21" w16cid:durableId="1068267740">
    <w:abstractNumId w:val="10"/>
  </w:num>
  <w:num w:numId="22" w16cid:durableId="1149325037">
    <w:abstractNumId w:val="4"/>
  </w:num>
  <w:num w:numId="23" w16cid:durableId="320431195">
    <w:abstractNumId w:val="11"/>
  </w:num>
  <w:num w:numId="24" w16cid:durableId="14925973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C2C"/>
    <w:rsid w:val="00356512"/>
    <w:rsid w:val="00473AEF"/>
    <w:rsid w:val="004D1328"/>
    <w:rsid w:val="00514F2D"/>
    <w:rsid w:val="00544C2C"/>
    <w:rsid w:val="009738BF"/>
    <w:rsid w:val="00ED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3F7C5"/>
  <w15:chartTrackingRefBased/>
  <w15:docId w15:val="{DE6F9180-5E37-4457-91B0-5418599A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ato" w:eastAsiaTheme="minorHAnsi" w:hAnsi="Lato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4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544C2C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544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4C2C"/>
  </w:style>
  <w:style w:type="paragraph" w:styleId="Pieddepage">
    <w:name w:val="footer"/>
    <w:basedOn w:val="Normal"/>
    <w:link w:val="PieddepageCar"/>
    <w:uiPriority w:val="99"/>
    <w:unhideWhenUsed/>
    <w:rsid w:val="00544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13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Chargée de communication</dc:creator>
  <cp:keywords/>
  <dc:description/>
  <cp:lastModifiedBy>Chargée de communication</cp:lastModifiedBy>
  <cp:revision>2</cp:revision>
  <dcterms:created xsi:type="dcterms:W3CDTF">2024-03-22T14:24:00Z</dcterms:created>
  <dcterms:modified xsi:type="dcterms:W3CDTF">2024-03-22T14:24:00Z</dcterms:modified>
</cp:coreProperties>
</file>